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5CD9C" w14:textId="77777777" w:rsidR="004C1BC5" w:rsidRPr="004C1BC5" w:rsidRDefault="004C1BC5" w:rsidP="004C1BC5">
      <w:pPr>
        <w:shd w:val="clear" w:color="auto" w:fill="FFFFFF"/>
        <w:spacing w:after="100" w:afterAutospacing="1" w:line="312" w:lineRule="atLeast"/>
        <w:jc w:val="right"/>
        <w:outlineLvl w:val="3"/>
        <w:rPr>
          <w:rFonts w:ascii="tajawal-regular" w:eastAsia="Times New Roman" w:hAnsi="tajawal-regular" w:cs="Times New Roman"/>
          <w:b/>
          <w:bCs/>
          <w:color w:val="121212"/>
          <w:sz w:val="30"/>
          <w:szCs w:val="30"/>
          <w:lang w:eastAsia="fr-FR"/>
        </w:rPr>
      </w:pPr>
      <w:r w:rsidRPr="004C1BC5">
        <w:rPr>
          <w:rFonts w:ascii="tajawal-regular" w:eastAsia="Times New Roman" w:hAnsi="tajawal-regular" w:cs="Times New Roman"/>
          <w:b/>
          <w:bCs/>
          <w:color w:val="3B2C22"/>
          <w:sz w:val="30"/>
          <w:szCs w:val="30"/>
          <w:rtl/>
          <w:lang w:eastAsia="fr-FR"/>
        </w:rPr>
        <w:t>المصادر الأصلية</w:t>
      </w:r>
      <w:r w:rsidRPr="004C1BC5">
        <w:rPr>
          <w:rFonts w:ascii="tajawal-regular" w:eastAsia="Times New Roman" w:hAnsi="tajawal-regular" w:cs="Times New Roman"/>
          <w:b/>
          <w:bCs/>
          <w:color w:val="3B2C22"/>
          <w:sz w:val="30"/>
          <w:szCs w:val="30"/>
          <w:lang w:eastAsia="fr-FR"/>
        </w:rPr>
        <w:t>:</w:t>
      </w:r>
    </w:p>
    <w:p w14:paraId="33FDC904"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color w:val="555555"/>
          <w:sz w:val="21"/>
          <w:szCs w:val="21"/>
          <w:lang w:eastAsia="fr-FR"/>
        </w:rPr>
        <w:t> </w:t>
      </w:r>
    </w:p>
    <w:p w14:paraId="2A157526"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b/>
          <w:bCs/>
          <w:color w:val="FF0000"/>
          <w:sz w:val="21"/>
          <w:szCs w:val="21"/>
          <w:lang w:eastAsia="fr-FR"/>
        </w:rPr>
        <w:t xml:space="preserve">1- </w:t>
      </w:r>
      <w:proofErr w:type="gramStart"/>
      <w:r w:rsidRPr="004C1BC5">
        <w:rPr>
          <w:rFonts w:ascii="tajawal-regular" w:eastAsia="Times New Roman" w:hAnsi="tajawal-regular" w:cs="Times New Roman"/>
          <w:b/>
          <w:bCs/>
          <w:color w:val="FF0000"/>
          <w:sz w:val="21"/>
          <w:szCs w:val="21"/>
          <w:rtl/>
          <w:lang w:eastAsia="fr-FR"/>
        </w:rPr>
        <w:t>التشريع</w:t>
      </w:r>
      <w:r w:rsidRPr="004C1BC5">
        <w:rPr>
          <w:rFonts w:ascii="tajawal-regular" w:eastAsia="Times New Roman" w:hAnsi="tajawal-regular" w:cs="Times New Roman"/>
          <w:b/>
          <w:bCs/>
          <w:color w:val="FF0000"/>
          <w:sz w:val="21"/>
          <w:szCs w:val="21"/>
          <w:lang w:eastAsia="fr-FR"/>
        </w:rPr>
        <w:t>:</w:t>
      </w:r>
      <w:proofErr w:type="gramEnd"/>
    </w:p>
    <w:p w14:paraId="143BEC5A"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color w:val="000000"/>
          <w:sz w:val="21"/>
          <w:szCs w:val="21"/>
          <w:rtl/>
          <w:lang w:eastAsia="fr-FR"/>
        </w:rPr>
        <w:t>هو سن القوانين بحيث يتم وضع القواعد القانونية من قبل السلطة المختصة داخل الدولة وفق شكليات معينة، ويعد التشريع مصدراً اصلياً وأولي بحيث يبحث القاضي عن نص يتناسب مع الحكم لكن ماذا لو كان النص غامض هل سينتقل ليبحث عن نص في مصدر آخر؟ بالطبع سيذهب ليفسر ما جاء بالنص من غموض ولا يذهب الى مصادر أخرى إلا في حالة عدم وجود نص في التشريع</w:t>
      </w:r>
      <w:r w:rsidRPr="004C1BC5">
        <w:rPr>
          <w:rFonts w:ascii="tajawal-regular" w:eastAsia="Times New Roman" w:hAnsi="tajawal-regular" w:cs="Times New Roman"/>
          <w:color w:val="000000"/>
          <w:sz w:val="21"/>
          <w:szCs w:val="21"/>
          <w:lang w:eastAsia="fr-FR"/>
        </w:rPr>
        <w:t>.</w:t>
      </w:r>
    </w:p>
    <w:p w14:paraId="59E6FF5A"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b/>
          <w:bCs/>
          <w:color w:val="000000"/>
          <w:sz w:val="21"/>
          <w:szCs w:val="21"/>
          <w:rtl/>
          <w:lang w:eastAsia="fr-FR"/>
        </w:rPr>
        <w:t>أنواع التشريع من حيث القوة</w:t>
      </w:r>
      <w:r w:rsidRPr="004C1BC5">
        <w:rPr>
          <w:rFonts w:ascii="tajawal-regular" w:eastAsia="Times New Roman" w:hAnsi="tajawal-regular" w:cs="Times New Roman"/>
          <w:b/>
          <w:bCs/>
          <w:color w:val="000000"/>
          <w:sz w:val="21"/>
          <w:szCs w:val="21"/>
          <w:lang w:eastAsia="fr-FR"/>
        </w:rPr>
        <w:t>:</w:t>
      </w:r>
    </w:p>
    <w:p w14:paraId="0DDF048D" w14:textId="77777777" w:rsidR="004C1BC5" w:rsidRPr="004C1BC5" w:rsidRDefault="004C1BC5" w:rsidP="004C1BC5">
      <w:pPr>
        <w:numPr>
          <w:ilvl w:val="0"/>
          <w:numId w:val="1"/>
        </w:numPr>
        <w:shd w:val="clear" w:color="auto" w:fill="FFFFFF"/>
        <w:spacing w:before="100" w:beforeAutospacing="1" w:after="100" w:afterAutospacing="1"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b/>
          <w:bCs/>
          <w:color w:val="000000"/>
          <w:sz w:val="21"/>
          <w:szCs w:val="21"/>
          <w:rtl/>
          <w:lang w:eastAsia="fr-FR"/>
        </w:rPr>
        <w:t>الدستور</w:t>
      </w:r>
      <w:r w:rsidRPr="004C1BC5">
        <w:rPr>
          <w:rFonts w:ascii="tajawal-regular" w:eastAsia="Times New Roman" w:hAnsi="tajawal-regular" w:cs="Times New Roman"/>
          <w:b/>
          <w:bCs/>
          <w:color w:val="000000"/>
          <w:sz w:val="21"/>
          <w:szCs w:val="21"/>
          <w:lang w:eastAsia="fr-FR"/>
        </w:rPr>
        <w:t>:</w:t>
      </w:r>
      <w:r w:rsidRPr="004C1BC5">
        <w:rPr>
          <w:rFonts w:ascii="tajawal-regular" w:eastAsia="Times New Roman" w:hAnsi="tajawal-regular" w:cs="Times New Roman"/>
          <w:color w:val="000000"/>
          <w:sz w:val="21"/>
          <w:szCs w:val="21"/>
          <w:lang w:eastAsia="fr-FR"/>
        </w:rPr>
        <w:t> </w:t>
      </w:r>
      <w:r w:rsidRPr="004C1BC5">
        <w:rPr>
          <w:rFonts w:ascii="tajawal-regular" w:eastAsia="Times New Roman" w:hAnsi="tajawal-regular" w:cs="Times New Roman"/>
          <w:color w:val="000000"/>
          <w:sz w:val="21"/>
          <w:szCs w:val="21"/>
          <w:rtl/>
          <w:lang w:eastAsia="fr-FR"/>
        </w:rPr>
        <w:t>هو من يتميز بالسيادة والسمو، هو كفيل الحقوق والحريات والقانون الأساسي الذي يسمو على كل ما تقوم عليه الدولة من نظام الحكم وشكل الدولة وسلطاتها ووظيفة واختصاص كل سلطة</w:t>
      </w:r>
      <w:r w:rsidRPr="004C1BC5">
        <w:rPr>
          <w:rFonts w:ascii="tajawal-regular" w:eastAsia="Times New Roman" w:hAnsi="tajawal-regular" w:cs="Times New Roman"/>
          <w:color w:val="000000"/>
          <w:sz w:val="21"/>
          <w:szCs w:val="21"/>
          <w:lang w:eastAsia="fr-FR"/>
        </w:rPr>
        <w:t>.</w:t>
      </w:r>
    </w:p>
    <w:p w14:paraId="3FBE5B6E" w14:textId="77777777" w:rsidR="004C1BC5" w:rsidRPr="004C1BC5" w:rsidRDefault="004C1BC5" w:rsidP="004C1BC5">
      <w:pPr>
        <w:numPr>
          <w:ilvl w:val="0"/>
          <w:numId w:val="1"/>
        </w:numPr>
        <w:shd w:val="clear" w:color="auto" w:fill="FFFFFF"/>
        <w:spacing w:before="100" w:beforeAutospacing="1" w:after="100" w:afterAutospacing="1"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b/>
          <w:bCs/>
          <w:color w:val="000000"/>
          <w:sz w:val="21"/>
          <w:szCs w:val="21"/>
          <w:rtl/>
          <w:lang w:eastAsia="fr-FR"/>
        </w:rPr>
        <w:t>القانون (تشريع عادي)</w:t>
      </w:r>
      <w:r w:rsidRPr="004C1BC5">
        <w:rPr>
          <w:rFonts w:ascii="tajawal-regular" w:eastAsia="Times New Roman" w:hAnsi="tajawal-regular" w:cs="Times New Roman"/>
          <w:b/>
          <w:bCs/>
          <w:color w:val="000000"/>
          <w:sz w:val="21"/>
          <w:szCs w:val="21"/>
          <w:lang w:eastAsia="fr-FR"/>
        </w:rPr>
        <w:t>:</w:t>
      </w:r>
      <w:r w:rsidRPr="004C1BC5">
        <w:rPr>
          <w:rFonts w:ascii="tajawal-regular" w:eastAsia="Times New Roman" w:hAnsi="tajawal-regular" w:cs="Times New Roman"/>
          <w:color w:val="000000"/>
          <w:sz w:val="21"/>
          <w:szCs w:val="21"/>
          <w:lang w:eastAsia="fr-FR"/>
        </w:rPr>
        <w:t> </w:t>
      </w:r>
      <w:r w:rsidRPr="004C1BC5">
        <w:rPr>
          <w:rFonts w:ascii="tajawal-regular" w:eastAsia="Times New Roman" w:hAnsi="tajawal-regular" w:cs="Times New Roman"/>
          <w:color w:val="000000"/>
          <w:sz w:val="21"/>
          <w:szCs w:val="21"/>
          <w:rtl/>
          <w:lang w:eastAsia="fr-FR"/>
        </w:rPr>
        <w:t>بحيث تقوم بوضعه السلطة التشريعية التي منحها الدستور هذا الاختصاص في الدولة بشكليات محددة</w:t>
      </w:r>
      <w:r w:rsidRPr="004C1BC5">
        <w:rPr>
          <w:rFonts w:ascii="tajawal-regular" w:eastAsia="Times New Roman" w:hAnsi="tajawal-regular" w:cs="Times New Roman"/>
          <w:color w:val="000000"/>
          <w:sz w:val="21"/>
          <w:szCs w:val="21"/>
          <w:lang w:eastAsia="fr-FR"/>
        </w:rPr>
        <w:t>.</w:t>
      </w:r>
    </w:p>
    <w:p w14:paraId="04C66C5F" w14:textId="77777777" w:rsidR="004C1BC5" w:rsidRPr="004C1BC5" w:rsidRDefault="004C1BC5" w:rsidP="004C1BC5">
      <w:pPr>
        <w:numPr>
          <w:ilvl w:val="0"/>
          <w:numId w:val="1"/>
        </w:numPr>
        <w:shd w:val="clear" w:color="auto" w:fill="FFFFFF"/>
        <w:spacing w:before="100" w:beforeAutospacing="1" w:after="100" w:afterAutospacing="1"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b/>
          <w:bCs/>
          <w:color w:val="000000"/>
          <w:sz w:val="21"/>
          <w:szCs w:val="21"/>
          <w:rtl/>
          <w:lang w:eastAsia="fr-FR"/>
        </w:rPr>
        <w:t xml:space="preserve">الأنظمة </w:t>
      </w:r>
      <w:proofErr w:type="spellStart"/>
      <w:r w:rsidRPr="004C1BC5">
        <w:rPr>
          <w:rFonts w:ascii="tajawal-regular" w:eastAsia="Times New Roman" w:hAnsi="tajawal-regular" w:cs="Times New Roman"/>
          <w:b/>
          <w:bCs/>
          <w:color w:val="000000"/>
          <w:sz w:val="21"/>
          <w:szCs w:val="21"/>
          <w:rtl/>
          <w:lang w:eastAsia="fr-FR"/>
        </w:rPr>
        <w:t>والوائح</w:t>
      </w:r>
      <w:proofErr w:type="spellEnd"/>
      <w:r w:rsidRPr="004C1BC5">
        <w:rPr>
          <w:rFonts w:ascii="tajawal-regular" w:eastAsia="Times New Roman" w:hAnsi="tajawal-regular" w:cs="Times New Roman"/>
          <w:b/>
          <w:bCs/>
          <w:color w:val="000000"/>
          <w:sz w:val="21"/>
          <w:szCs w:val="21"/>
          <w:lang w:eastAsia="fr-FR"/>
        </w:rPr>
        <w:t>:</w:t>
      </w:r>
      <w:r w:rsidRPr="004C1BC5">
        <w:rPr>
          <w:rFonts w:ascii="tajawal-regular" w:eastAsia="Times New Roman" w:hAnsi="tajawal-regular" w:cs="Times New Roman"/>
          <w:color w:val="000000"/>
          <w:sz w:val="21"/>
          <w:szCs w:val="21"/>
          <w:lang w:eastAsia="fr-FR"/>
        </w:rPr>
        <w:t> </w:t>
      </w:r>
      <w:r w:rsidRPr="004C1BC5">
        <w:rPr>
          <w:rFonts w:ascii="tajawal-regular" w:eastAsia="Times New Roman" w:hAnsi="tajawal-regular" w:cs="Times New Roman"/>
          <w:color w:val="000000"/>
          <w:sz w:val="21"/>
          <w:szCs w:val="21"/>
          <w:rtl/>
          <w:lang w:eastAsia="fr-FR"/>
        </w:rPr>
        <w:t xml:space="preserve">وهي التشريعات الفرعية بحيث تضع قواعدها الالزامية من قبل السلطة التنفيذية وفق ما وزع الدستور ومنح من اختصاصات لكل سلطة. وتكون </w:t>
      </w:r>
      <w:proofErr w:type="spellStart"/>
      <w:r w:rsidRPr="004C1BC5">
        <w:rPr>
          <w:rFonts w:ascii="tajawal-regular" w:eastAsia="Times New Roman" w:hAnsi="tajawal-regular" w:cs="Times New Roman"/>
          <w:color w:val="000000"/>
          <w:sz w:val="21"/>
          <w:szCs w:val="21"/>
          <w:rtl/>
          <w:lang w:eastAsia="fr-FR"/>
        </w:rPr>
        <w:t>الانظمةعلى</w:t>
      </w:r>
      <w:proofErr w:type="spellEnd"/>
      <w:r w:rsidRPr="004C1BC5">
        <w:rPr>
          <w:rFonts w:ascii="tajawal-regular" w:eastAsia="Times New Roman" w:hAnsi="tajawal-regular" w:cs="Times New Roman"/>
          <w:color w:val="000000"/>
          <w:sz w:val="21"/>
          <w:szCs w:val="21"/>
          <w:rtl/>
          <w:lang w:eastAsia="fr-FR"/>
        </w:rPr>
        <w:t xml:space="preserve"> أنواع: اما ان تكون جاءت انظمة تنفيذية بحيث غاياتها تنفيذ القوانين، أو جاءت أنظمة تنظيمية وغايتها هي التنظيم والترتيب للدولة وتهدف لتوفير خدمات للمصالح العامة بتنظيم دوائر خاصة بالحكومات لتلبية حاجات الافراد او بتعيين موظفين </w:t>
      </w:r>
      <w:proofErr w:type="gramStart"/>
      <w:r w:rsidRPr="004C1BC5">
        <w:rPr>
          <w:rFonts w:ascii="tajawal-regular" w:eastAsia="Times New Roman" w:hAnsi="tajawal-regular" w:cs="Times New Roman"/>
          <w:color w:val="000000"/>
          <w:sz w:val="21"/>
          <w:szCs w:val="21"/>
          <w:rtl/>
          <w:lang w:eastAsia="fr-FR"/>
        </w:rPr>
        <w:t>….الخ</w:t>
      </w:r>
      <w:proofErr w:type="gramEnd"/>
      <w:r w:rsidRPr="004C1BC5">
        <w:rPr>
          <w:rFonts w:ascii="tajawal-regular" w:eastAsia="Times New Roman" w:hAnsi="tajawal-regular" w:cs="Times New Roman"/>
          <w:color w:val="000000"/>
          <w:sz w:val="21"/>
          <w:szCs w:val="21"/>
          <w:rtl/>
          <w:lang w:eastAsia="fr-FR"/>
        </w:rPr>
        <w:t xml:space="preserve">، أو تكون أنظمة أمن وهنا يكون اهتمامها مرتكز فقط على الأمن </w:t>
      </w:r>
      <w:proofErr w:type="spellStart"/>
      <w:r w:rsidRPr="004C1BC5">
        <w:rPr>
          <w:rFonts w:ascii="tajawal-regular" w:eastAsia="Times New Roman" w:hAnsi="tajawal-regular" w:cs="Times New Roman"/>
          <w:color w:val="000000"/>
          <w:sz w:val="21"/>
          <w:szCs w:val="21"/>
          <w:rtl/>
          <w:lang w:eastAsia="fr-FR"/>
        </w:rPr>
        <w:t>للافراد</w:t>
      </w:r>
      <w:proofErr w:type="spellEnd"/>
      <w:r w:rsidRPr="004C1BC5">
        <w:rPr>
          <w:rFonts w:ascii="tajawal-regular" w:eastAsia="Times New Roman" w:hAnsi="tajawal-regular" w:cs="Times New Roman"/>
          <w:color w:val="000000"/>
          <w:sz w:val="21"/>
          <w:szCs w:val="21"/>
          <w:rtl/>
          <w:lang w:eastAsia="fr-FR"/>
        </w:rPr>
        <w:t xml:space="preserve"> وحمايتهم من كل ضرر ممكن الحدوث سواء خطر يهدد الصحة او السكينة أو أي جانب اخر متعلق بمصلحة الافراد</w:t>
      </w:r>
      <w:r w:rsidRPr="004C1BC5">
        <w:rPr>
          <w:rFonts w:ascii="tajawal-regular" w:eastAsia="Times New Roman" w:hAnsi="tajawal-regular" w:cs="Times New Roman"/>
          <w:color w:val="000000"/>
          <w:sz w:val="21"/>
          <w:szCs w:val="21"/>
          <w:lang w:eastAsia="fr-FR"/>
        </w:rPr>
        <w:t>.</w:t>
      </w:r>
    </w:p>
    <w:p w14:paraId="4B383115"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color w:val="000000"/>
          <w:sz w:val="21"/>
          <w:szCs w:val="21"/>
          <w:rtl/>
          <w:lang w:eastAsia="fr-FR"/>
        </w:rPr>
        <w:t xml:space="preserve">الى هنا اكون شرحت الهرمية للتشريع بحيث الخص بأن الدستور هو أعلى ما بالقمة ثم يليه بالقوة القانون ويتبعه أخيراً النظام ونعلم ان القوة </w:t>
      </w:r>
      <w:proofErr w:type="spellStart"/>
      <w:r w:rsidRPr="004C1BC5">
        <w:rPr>
          <w:rFonts w:ascii="tajawal-regular" w:eastAsia="Times New Roman" w:hAnsi="tajawal-regular" w:cs="Times New Roman"/>
          <w:color w:val="000000"/>
          <w:sz w:val="21"/>
          <w:szCs w:val="21"/>
          <w:rtl/>
          <w:lang w:eastAsia="fr-FR"/>
        </w:rPr>
        <w:t>للاعلى</w:t>
      </w:r>
      <w:proofErr w:type="spellEnd"/>
      <w:r w:rsidRPr="004C1BC5">
        <w:rPr>
          <w:rFonts w:ascii="tajawal-regular" w:eastAsia="Times New Roman" w:hAnsi="tajawal-regular" w:cs="Times New Roman"/>
          <w:color w:val="000000"/>
          <w:sz w:val="21"/>
          <w:szCs w:val="21"/>
          <w:rtl/>
          <w:lang w:eastAsia="fr-FR"/>
        </w:rPr>
        <w:t xml:space="preserve"> </w:t>
      </w:r>
      <w:proofErr w:type="spellStart"/>
      <w:r w:rsidRPr="004C1BC5">
        <w:rPr>
          <w:rFonts w:ascii="tajawal-regular" w:eastAsia="Times New Roman" w:hAnsi="tajawal-regular" w:cs="Times New Roman"/>
          <w:color w:val="000000"/>
          <w:sz w:val="21"/>
          <w:szCs w:val="21"/>
          <w:rtl/>
          <w:lang w:eastAsia="fr-FR"/>
        </w:rPr>
        <w:t>فيؤخد</w:t>
      </w:r>
      <w:proofErr w:type="spellEnd"/>
      <w:r w:rsidRPr="004C1BC5">
        <w:rPr>
          <w:rFonts w:ascii="tajawal-regular" w:eastAsia="Times New Roman" w:hAnsi="tajawal-regular" w:cs="Times New Roman"/>
          <w:color w:val="000000"/>
          <w:sz w:val="21"/>
          <w:szCs w:val="21"/>
          <w:rtl/>
          <w:lang w:eastAsia="fr-FR"/>
        </w:rPr>
        <w:t xml:space="preserve"> بما هو أعلى مرتبة فمثلاً لو حدث تعارض بين نصين </w:t>
      </w:r>
      <w:proofErr w:type="gramStart"/>
      <w:r w:rsidRPr="004C1BC5">
        <w:rPr>
          <w:rFonts w:ascii="tajawal-regular" w:eastAsia="Times New Roman" w:hAnsi="tajawal-regular" w:cs="Times New Roman"/>
          <w:color w:val="000000"/>
          <w:sz w:val="21"/>
          <w:szCs w:val="21"/>
          <w:rtl/>
          <w:lang w:eastAsia="fr-FR"/>
        </w:rPr>
        <w:t>احدهما</w:t>
      </w:r>
      <w:proofErr w:type="gramEnd"/>
      <w:r w:rsidRPr="004C1BC5">
        <w:rPr>
          <w:rFonts w:ascii="tajawal-regular" w:eastAsia="Times New Roman" w:hAnsi="tajawal-regular" w:cs="Times New Roman"/>
          <w:color w:val="000000"/>
          <w:sz w:val="21"/>
          <w:szCs w:val="21"/>
          <w:rtl/>
          <w:lang w:eastAsia="fr-FR"/>
        </w:rPr>
        <w:t xml:space="preserve"> بالدستور والاخر بالقانون بالطبع سنأخذ بالدستور </w:t>
      </w:r>
      <w:proofErr w:type="spellStart"/>
      <w:r w:rsidRPr="004C1BC5">
        <w:rPr>
          <w:rFonts w:ascii="tajawal-regular" w:eastAsia="Times New Roman" w:hAnsi="tajawal-regular" w:cs="Times New Roman"/>
          <w:color w:val="000000"/>
          <w:sz w:val="21"/>
          <w:szCs w:val="21"/>
          <w:rtl/>
          <w:lang w:eastAsia="fr-FR"/>
        </w:rPr>
        <w:t>لانه</w:t>
      </w:r>
      <w:proofErr w:type="spellEnd"/>
      <w:r w:rsidRPr="004C1BC5">
        <w:rPr>
          <w:rFonts w:ascii="tajawal-regular" w:eastAsia="Times New Roman" w:hAnsi="tajawal-regular" w:cs="Times New Roman"/>
          <w:color w:val="000000"/>
          <w:sz w:val="21"/>
          <w:szCs w:val="21"/>
          <w:rtl/>
          <w:lang w:eastAsia="fr-FR"/>
        </w:rPr>
        <w:t xml:space="preserve"> يغلب بقوته على القانون</w:t>
      </w:r>
      <w:r w:rsidRPr="004C1BC5">
        <w:rPr>
          <w:rFonts w:ascii="tajawal-regular" w:eastAsia="Times New Roman" w:hAnsi="tajawal-regular" w:cs="Times New Roman"/>
          <w:color w:val="000000"/>
          <w:sz w:val="21"/>
          <w:szCs w:val="21"/>
          <w:lang w:eastAsia="fr-FR"/>
        </w:rPr>
        <w:t>.</w:t>
      </w:r>
    </w:p>
    <w:p w14:paraId="45BFD1CA"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color w:val="555555"/>
          <w:sz w:val="21"/>
          <w:szCs w:val="21"/>
          <w:lang w:eastAsia="fr-FR"/>
        </w:rPr>
        <w:t> </w:t>
      </w:r>
    </w:p>
    <w:p w14:paraId="6AE00015"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b/>
          <w:bCs/>
          <w:color w:val="FF0000"/>
          <w:sz w:val="21"/>
          <w:szCs w:val="21"/>
          <w:lang w:eastAsia="fr-FR"/>
        </w:rPr>
        <w:t xml:space="preserve">2- </w:t>
      </w:r>
      <w:proofErr w:type="gramStart"/>
      <w:r w:rsidRPr="004C1BC5">
        <w:rPr>
          <w:rFonts w:ascii="tajawal-regular" w:eastAsia="Times New Roman" w:hAnsi="tajawal-regular" w:cs="Times New Roman"/>
          <w:b/>
          <w:bCs/>
          <w:color w:val="FF0000"/>
          <w:sz w:val="21"/>
          <w:szCs w:val="21"/>
          <w:rtl/>
          <w:lang w:eastAsia="fr-FR"/>
        </w:rPr>
        <w:t>الدين</w:t>
      </w:r>
      <w:r w:rsidRPr="004C1BC5">
        <w:rPr>
          <w:rFonts w:ascii="tajawal-regular" w:eastAsia="Times New Roman" w:hAnsi="tajawal-regular" w:cs="Times New Roman"/>
          <w:b/>
          <w:bCs/>
          <w:color w:val="FF0000"/>
          <w:sz w:val="21"/>
          <w:szCs w:val="21"/>
          <w:lang w:eastAsia="fr-FR"/>
        </w:rPr>
        <w:t>:</w:t>
      </w:r>
      <w:proofErr w:type="gramEnd"/>
    </w:p>
    <w:p w14:paraId="2E700D55"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color w:val="000000"/>
          <w:sz w:val="21"/>
          <w:szCs w:val="21"/>
          <w:rtl/>
          <w:lang w:eastAsia="fr-FR"/>
        </w:rPr>
        <w:t>هو كل ما يتعلق بمعتقدات لديانة معينة، مثلاً الإسلام يستمد المسلمون القواعد الدينية وكل ما هو حلال أو حرام من الشريعة الإسلامية وبالطبع تختلف باختلاف الثقافات الدينية والملة</w:t>
      </w:r>
      <w:r w:rsidRPr="004C1BC5">
        <w:rPr>
          <w:rFonts w:ascii="tajawal-regular" w:eastAsia="Times New Roman" w:hAnsi="tajawal-regular" w:cs="Times New Roman"/>
          <w:color w:val="000000"/>
          <w:sz w:val="21"/>
          <w:szCs w:val="21"/>
          <w:lang w:eastAsia="fr-FR"/>
        </w:rPr>
        <w:t>.</w:t>
      </w:r>
    </w:p>
    <w:p w14:paraId="1BBC3858"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color w:val="555555"/>
          <w:sz w:val="21"/>
          <w:szCs w:val="21"/>
          <w:lang w:eastAsia="fr-FR"/>
        </w:rPr>
        <w:t> </w:t>
      </w:r>
    </w:p>
    <w:p w14:paraId="1ECA3FDE" w14:textId="77777777" w:rsidR="004C1BC5" w:rsidRPr="004C1BC5" w:rsidRDefault="004C1BC5" w:rsidP="004C1BC5">
      <w:pPr>
        <w:shd w:val="clear" w:color="auto" w:fill="FFFFFF"/>
        <w:spacing w:after="100" w:afterAutospacing="1" w:line="312" w:lineRule="atLeast"/>
        <w:jc w:val="right"/>
        <w:outlineLvl w:val="3"/>
        <w:rPr>
          <w:rFonts w:ascii="tajawal-regular" w:eastAsia="Times New Roman" w:hAnsi="tajawal-regular" w:cs="Times New Roman"/>
          <w:b/>
          <w:bCs/>
          <w:color w:val="121212"/>
          <w:sz w:val="30"/>
          <w:szCs w:val="30"/>
          <w:lang w:eastAsia="fr-FR"/>
        </w:rPr>
      </w:pPr>
      <w:r w:rsidRPr="004C1BC5">
        <w:rPr>
          <w:rFonts w:ascii="tajawal-regular" w:eastAsia="Times New Roman" w:hAnsi="tajawal-regular" w:cs="Times New Roman"/>
          <w:b/>
          <w:bCs/>
          <w:color w:val="FF0000"/>
          <w:sz w:val="30"/>
          <w:szCs w:val="30"/>
          <w:rtl/>
          <w:lang w:eastAsia="fr-FR"/>
        </w:rPr>
        <w:t>ثالثاً</w:t>
      </w:r>
      <w:r w:rsidRPr="004C1BC5">
        <w:rPr>
          <w:rFonts w:ascii="tajawal-regular" w:eastAsia="Times New Roman" w:hAnsi="tajawal-regular" w:cs="Times New Roman"/>
          <w:b/>
          <w:bCs/>
          <w:color w:val="FF0000"/>
          <w:sz w:val="30"/>
          <w:szCs w:val="30"/>
          <w:lang w:eastAsia="fr-FR"/>
        </w:rPr>
        <w:t xml:space="preserve"> –</w:t>
      </w:r>
      <w:r w:rsidRPr="004C1BC5">
        <w:rPr>
          <w:rFonts w:ascii="tajawal-regular" w:eastAsia="Times New Roman" w:hAnsi="tajawal-regular" w:cs="Times New Roman"/>
          <w:b/>
          <w:bCs/>
          <w:color w:val="3B2C22"/>
          <w:sz w:val="30"/>
          <w:szCs w:val="30"/>
          <w:lang w:eastAsia="fr-FR"/>
        </w:rPr>
        <w:t> </w:t>
      </w:r>
      <w:r w:rsidRPr="004C1BC5">
        <w:rPr>
          <w:rFonts w:ascii="tajawal-regular" w:eastAsia="Times New Roman" w:hAnsi="tajawal-regular" w:cs="Times New Roman"/>
          <w:b/>
          <w:bCs/>
          <w:color w:val="3B2C22"/>
          <w:sz w:val="30"/>
          <w:szCs w:val="30"/>
          <w:rtl/>
          <w:lang w:eastAsia="fr-FR"/>
        </w:rPr>
        <w:t>المصادر الاحتياطية</w:t>
      </w:r>
      <w:r w:rsidRPr="004C1BC5">
        <w:rPr>
          <w:rFonts w:ascii="tajawal-regular" w:eastAsia="Times New Roman" w:hAnsi="tajawal-regular" w:cs="Times New Roman"/>
          <w:b/>
          <w:bCs/>
          <w:color w:val="3B2C22"/>
          <w:sz w:val="30"/>
          <w:szCs w:val="30"/>
          <w:lang w:eastAsia="fr-FR"/>
        </w:rPr>
        <w:t>:    </w:t>
      </w:r>
    </w:p>
    <w:p w14:paraId="5000EE74"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b/>
          <w:bCs/>
          <w:color w:val="3B2C22"/>
          <w:sz w:val="21"/>
          <w:szCs w:val="21"/>
          <w:lang w:eastAsia="fr-FR"/>
        </w:rPr>
        <w:t> </w:t>
      </w:r>
    </w:p>
    <w:p w14:paraId="4EC8CAEE"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color w:val="000000"/>
          <w:sz w:val="21"/>
          <w:szCs w:val="21"/>
          <w:rtl/>
          <w:lang w:eastAsia="fr-FR"/>
        </w:rPr>
        <w:t xml:space="preserve">نعلم أنه لا يمكن أن يكون كل شيء كامل بحيث يفتقر التشريع لبعض من النصوص لذلك يلجا القاضي الي المصدر </w:t>
      </w:r>
      <w:proofErr w:type="spellStart"/>
      <w:r w:rsidRPr="004C1BC5">
        <w:rPr>
          <w:rFonts w:ascii="tajawal-regular" w:eastAsia="Times New Roman" w:hAnsi="tajawal-regular" w:cs="Times New Roman"/>
          <w:color w:val="000000"/>
          <w:sz w:val="21"/>
          <w:szCs w:val="21"/>
          <w:rtl/>
          <w:lang w:eastAsia="fr-FR"/>
        </w:rPr>
        <w:t>الإحتياطي</w:t>
      </w:r>
      <w:proofErr w:type="spellEnd"/>
      <w:r w:rsidRPr="004C1BC5">
        <w:rPr>
          <w:rFonts w:ascii="tajawal-regular" w:eastAsia="Times New Roman" w:hAnsi="tajawal-regular" w:cs="Times New Roman"/>
          <w:color w:val="000000"/>
          <w:sz w:val="21"/>
          <w:szCs w:val="21"/>
          <w:rtl/>
          <w:lang w:eastAsia="fr-FR"/>
        </w:rPr>
        <w:t xml:space="preserve"> كونه لم يجد بالمرجع الاصلي</w:t>
      </w:r>
      <w:r w:rsidRPr="004C1BC5">
        <w:rPr>
          <w:rFonts w:ascii="tajawal-regular" w:eastAsia="Times New Roman" w:hAnsi="tajawal-regular" w:cs="Times New Roman"/>
          <w:color w:val="000000"/>
          <w:sz w:val="21"/>
          <w:szCs w:val="21"/>
          <w:lang w:eastAsia="fr-FR"/>
        </w:rPr>
        <w:t>.</w:t>
      </w:r>
    </w:p>
    <w:p w14:paraId="081DF0CB"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color w:val="555555"/>
          <w:sz w:val="21"/>
          <w:szCs w:val="21"/>
          <w:lang w:eastAsia="fr-FR"/>
        </w:rPr>
        <w:t> </w:t>
      </w:r>
    </w:p>
    <w:p w14:paraId="7FAB5789"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b/>
          <w:bCs/>
          <w:color w:val="FF0000"/>
          <w:sz w:val="21"/>
          <w:szCs w:val="21"/>
          <w:lang w:eastAsia="fr-FR"/>
        </w:rPr>
        <w:t>1-</w:t>
      </w:r>
      <w:r w:rsidRPr="004C1BC5">
        <w:rPr>
          <w:rFonts w:ascii="tajawal-regular" w:eastAsia="Times New Roman" w:hAnsi="tajawal-regular" w:cs="Times New Roman"/>
          <w:b/>
          <w:bCs/>
          <w:color w:val="555555"/>
          <w:sz w:val="21"/>
          <w:szCs w:val="21"/>
          <w:lang w:eastAsia="fr-FR"/>
        </w:rPr>
        <w:t> </w:t>
      </w:r>
      <w:r w:rsidRPr="004C1BC5">
        <w:rPr>
          <w:rFonts w:ascii="tajawal-regular" w:eastAsia="Times New Roman" w:hAnsi="tajawal-regular" w:cs="Times New Roman"/>
          <w:b/>
          <w:bCs/>
          <w:color w:val="000000"/>
          <w:sz w:val="21"/>
          <w:szCs w:val="21"/>
          <w:rtl/>
          <w:lang w:eastAsia="fr-FR"/>
        </w:rPr>
        <w:t xml:space="preserve">احكام الفقه الاسلامي ومبادئ الشريعة </w:t>
      </w:r>
      <w:proofErr w:type="gramStart"/>
      <w:r w:rsidRPr="004C1BC5">
        <w:rPr>
          <w:rFonts w:ascii="tajawal-regular" w:eastAsia="Times New Roman" w:hAnsi="tajawal-regular" w:cs="Times New Roman"/>
          <w:b/>
          <w:bCs/>
          <w:color w:val="000000"/>
          <w:sz w:val="21"/>
          <w:szCs w:val="21"/>
          <w:rtl/>
          <w:lang w:eastAsia="fr-FR"/>
        </w:rPr>
        <w:t>الاسلامية</w:t>
      </w:r>
      <w:r w:rsidRPr="004C1BC5">
        <w:rPr>
          <w:rFonts w:ascii="tajawal-regular" w:eastAsia="Times New Roman" w:hAnsi="tajawal-regular" w:cs="Times New Roman"/>
          <w:b/>
          <w:bCs/>
          <w:color w:val="000000"/>
          <w:sz w:val="21"/>
          <w:szCs w:val="21"/>
          <w:lang w:eastAsia="fr-FR"/>
        </w:rPr>
        <w:t>:</w:t>
      </w:r>
      <w:proofErr w:type="gramEnd"/>
    </w:p>
    <w:p w14:paraId="6B4A2105"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color w:val="000000"/>
          <w:sz w:val="21"/>
          <w:szCs w:val="21"/>
          <w:rtl/>
          <w:lang w:eastAsia="fr-FR"/>
        </w:rPr>
        <w:t xml:space="preserve">الفقه هو الفهم لكل ما جاء بالكلام </w:t>
      </w:r>
      <w:proofErr w:type="spellStart"/>
      <w:r w:rsidRPr="004C1BC5">
        <w:rPr>
          <w:rFonts w:ascii="tajawal-regular" w:eastAsia="Times New Roman" w:hAnsi="tajawal-regular" w:cs="Times New Roman"/>
          <w:color w:val="000000"/>
          <w:sz w:val="21"/>
          <w:szCs w:val="21"/>
          <w:rtl/>
          <w:lang w:eastAsia="fr-FR"/>
        </w:rPr>
        <w:t>بحرفيته</w:t>
      </w:r>
      <w:proofErr w:type="spellEnd"/>
      <w:r w:rsidRPr="004C1BC5">
        <w:rPr>
          <w:rFonts w:ascii="tajawal-regular" w:eastAsia="Times New Roman" w:hAnsi="tajawal-regular" w:cs="Times New Roman"/>
          <w:color w:val="000000"/>
          <w:sz w:val="21"/>
          <w:szCs w:val="21"/>
          <w:rtl/>
          <w:lang w:eastAsia="fr-FR"/>
        </w:rPr>
        <w:t xml:space="preserve"> وهنا معناه أن تتم معرفة الأحكام الشرعية وفهم معانيها فيكون مصدر كل حكم شرعي دليل تفصيلي والدليل هو الاستدلال </w:t>
      </w:r>
      <w:proofErr w:type="spellStart"/>
      <w:r w:rsidRPr="004C1BC5">
        <w:rPr>
          <w:rFonts w:ascii="tajawal-regular" w:eastAsia="Times New Roman" w:hAnsi="tajawal-regular" w:cs="Times New Roman"/>
          <w:color w:val="000000"/>
          <w:sz w:val="21"/>
          <w:szCs w:val="21"/>
          <w:rtl/>
          <w:lang w:eastAsia="fr-FR"/>
        </w:rPr>
        <w:t>والاستترشاد</w:t>
      </w:r>
      <w:proofErr w:type="spellEnd"/>
      <w:r w:rsidRPr="004C1BC5">
        <w:rPr>
          <w:rFonts w:ascii="tajawal-regular" w:eastAsia="Times New Roman" w:hAnsi="tajawal-regular" w:cs="Times New Roman"/>
          <w:color w:val="000000"/>
          <w:sz w:val="21"/>
          <w:szCs w:val="21"/>
          <w:rtl/>
          <w:lang w:eastAsia="fr-FR"/>
        </w:rPr>
        <w:t xml:space="preserve"> بالقران الكريم والسنة الشريفة والاجماع بما يتفق عليه العلماء والقياس جميعها ادلة. وفي خالة عدم ايجاد نص يخص موضوع النزاع ولم يجد القاضي حكم في الفقه الإسلامي عليه الرجوع لمبادئ الشريعة الاسلامية</w:t>
      </w:r>
      <w:r w:rsidRPr="004C1BC5">
        <w:rPr>
          <w:rFonts w:ascii="tajawal-regular" w:eastAsia="Times New Roman" w:hAnsi="tajawal-regular" w:cs="Times New Roman"/>
          <w:color w:val="000000"/>
          <w:sz w:val="21"/>
          <w:szCs w:val="21"/>
          <w:lang w:eastAsia="fr-FR"/>
        </w:rPr>
        <w:t>.</w:t>
      </w:r>
    </w:p>
    <w:p w14:paraId="15E1BF92"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b/>
          <w:bCs/>
          <w:color w:val="FF0000"/>
          <w:sz w:val="21"/>
          <w:szCs w:val="21"/>
          <w:lang w:eastAsia="fr-FR"/>
        </w:rPr>
        <w:t>2-</w:t>
      </w:r>
      <w:r w:rsidRPr="004C1BC5">
        <w:rPr>
          <w:rFonts w:ascii="tajawal-regular" w:eastAsia="Times New Roman" w:hAnsi="tajawal-regular" w:cs="Times New Roman"/>
          <w:b/>
          <w:bCs/>
          <w:color w:val="555555"/>
          <w:sz w:val="21"/>
          <w:szCs w:val="21"/>
          <w:lang w:eastAsia="fr-FR"/>
        </w:rPr>
        <w:t> </w:t>
      </w:r>
      <w:proofErr w:type="gramStart"/>
      <w:r w:rsidRPr="004C1BC5">
        <w:rPr>
          <w:rFonts w:ascii="tajawal-regular" w:eastAsia="Times New Roman" w:hAnsi="tajawal-regular" w:cs="Times New Roman"/>
          <w:b/>
          <w:bCs/>
          <w:color w:val="000000"/>
          <w:sz w:val="21"/>
          <w:szCs w:val="21"/>
          <w:rtl/>
          <w:lang w:eastAsia="fr-FR"/>
        </w:rPr>
        <w:t>العرف</w:t>
      </w:r>
      <w:r w:rsidRPr="004C1BC5">
        <w:rPr>
          <w:rFonts w:ascii="tajawal-regular" w:eastAsia="Times New Roman" w:hAnsi="tajawal-regular" w:cs="Times New Roman"/>
          <w:b/>
          <w:bCs/>
          <w:color w:val="000000"/>
          <w:sz w:val="21"/>
          <w:szCs w:val="21"/>
          <w:lang w:eastAsia="fr-FR"/>
        </w:rPr>
        <w:t>:</w:t>
      </w:r>
      <w:proofErr w:type="gramEnd"/>
    </w:p>
    <w:p w14:paraId="107EF62B"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color w:val="000000"/>
          <w:sz w:val="21"/>
          <w:szCs w:val="21"/>
          <w:rtl/>
          <w:lang w:eastAsia="fr-FR"/>
        </w:rPr>
        <w:lastRenderedPageBreak/>
        <w:t xml:space="preserve">هو الذي يستند إليه طالما لم يجد القاضي نصاً يفيد التقاضي في أحكام الفقه، والذي يعرف بأنه كل ما هو متعارف عليه بين الأفراد في المجتمع بحيث يشمل معتقدات وسلوكيات معينة تختلف حسب البيئة </w:t>
      </w:r>
      <w:proofErr w:type="spellStart"/>
      <w:r w:rsidRPr="004C1BC5">
        <w:rPr>
          <w:rFonts w:ascii="tajawal-regular" w:eastAsia="Times New Roman" w:hAnsi="tajawal-regular" w:cs="Times New Roman"/>
          <w:color w:val="000000"/>
          <w:sz w:val="21"/>
          <w:szCs w:val="21"/>
          <w:rtl/>
          <w:lang w:eastAsia="fr-FR"/>
        </w:rPr>
        <w:t>لاتتخالف</w:t>
      </w:r>
      <w:proofErr w:type="spellEnd"/>
      <w:r w:rsidRPr="004C1BC5">
        <w:rPr>
          <w:rFonts w:ascii="tajawal-regular" w:eastAsia="Times New Roman" w:hAnsi="tajawal-regular" w:cs="Times New Roman"/>
          <w:color w:val="000000"/>
          <w:sz w:val="21"/>
          <w:szCs w:val="21"/>
          <w:rtl/>
          <w:lang w:eastAsia="fr-FR"/>
        </w:rPr>
        <w:t xml:space="preserve"> مع الشرع فعندما لا نجد دليل بكتاب الله وسنته والاجماع فيعتبر العرف دليل شرعي عند الفقهاء يستند اليه ولا يشترط ان يكون عرفا مدونا فهو متعارف عليه بشكل كامل. بعض من الشروط الواجب توافرها عند الحكم بمقتضى العرف: عام وقديم بحيث يكون ثابت ولا يخل أو يتعارض بما جاء بالنظام العام</w:t>
      </w:r>
      <w:r w:rsidRPr="004C1BC5">
        <w:rPr>
          <w:rFonts w:ascii="tajawal-regular" w:eastAsia="Times New Roman" w:hAnsi="tajawal-regular" w:cs="Times New Roman"/>
          <w:color w:val="000000"/>
          <w:sz w:val="21"/>
          <w:szCs w:val="21"/>
          <w:lang w:eastAsia="fr-FR"/>
        </w:rPr>
        <w:t>.</w:t>
      </w:r>
    </w:p>
    <w:p w14:paraId="71B696F3"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b/>
          <w:bCs/>
          <w:color w:val="FF0000"/>
          <w:sz w:val="21"/>
          <w:szCs w:val="21"/>
          <w:lang w:eastAsia="fr-FR"/>
        </w:rPr>
        <w:t>3-</w:t>
      </w:r>
      <w:r w:rsidRPr="004C1BC5">
        <w:rPr>
          <w:rFonts w:ascii="tajawal-regular" w:eastAsia="Times New Roman" w:hAnsi="tajawal-regular" w:cs="Times New Roman"/>
          <w:b/>
          <w:bCs/>
          <w:color w:val="000000"/>
          <w:sz w:val="21"/>
          <w:szCs w:val="21"/>
          <w:lang w:eastAsia="fr-FR"/>
        </w:rPr>
        <w:t> </w:t>
      </w:r>
      <w:r w:rsidRPr="004C1BC5">
        <w:rPr>
          <w:rFonts w:ascii="tajawal-regular" w:eastAsia="Times New Roman" w:hAnsi="tajawal-regular" w:cs="Times New Roman"/>
          <w:b/>
          <w:bCs/>
          <w:color w:val="000000"/>
          <w:sz w:val="21"/>
          <w:szCs w:val="21"/>
          <w:rtl/>
          <w:lang w:eastAsia="fr-FR"/>
        </w:rPr>
        <w:t xml:space="preserve">قواعد </w:t>
      </w:r>
      <w:proofErr w:type="gramStart"/>
      <w:r w:rsidRPr="004C1BC5">
        <w:rPr>
          <w:rFonts w:ascii="tajawal-regular" w:eastAsia="Times New Roman" w:hAnsi="tajawal-regular" w:cs="Times New Roman"/>
          <w:b/>
          <w:bCs/>
          <w:color w:val="000000"/>
          <w:sz w:val="21"/>
          <w:szCs w:val="21"/>
          <w:rtl/>
          <w:lang w:eastAsia="fr-FR"/>
        </w:rPr>
        <w:t>العدالة</w:t>
      </w:r>
      <w:r w:rsidRPr="004C1BC5">
        <w:rPr>
          <w:rFonts w:ascii="tajawal-regular" w:eastAsia="Times New Roman" w:hAnsi="tajawal-regular" w:cs="Times New Roman"/>
          <w:b/>
          <w:bCs/>
          <w:color w:val="000000"/>
          <w:sz w:val="21"/>
          <w:szCs w:val="21"/>
          <w:lang w:eastAsia="fr-FR"/>
        </w:rPr>
        <w:t>:</w:t>
      </w:r>
      <w:proofErr w:type="gramEnd"/>
    </w:p>
    <w:p w14:paraId="04C9E57D"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color w:val="000000"/>
          <w:sz w:val="21"/>
          <w:szCs w:val="21"/>
          <w:rtl/>
          <w:lang w:eastAsia="fr-FR"/>
        </w:rPr>
        <w:t xml:space="preserve">اذا لم يجد القاضي نصوص تشريعية تساعده على حل النزاع ولم يجد أيضاً في الفقه والشريعة الاسلامية ولم يجد في </w:t>
      </w:r>
      <w:proofErr w:type="gramStart"/>
      <w:r w:rsidRPr="004C1BC5">
        <w:rPr>
          <w:rFonts w:ascii="tajawal-regular" w:eastAsia="Times New Roman" w:hAnsi="tajawal-regular" w:cs="Times New Roman"/>
          <w:color w:val="000000"/>
          <w:sz w:val="21"/>
          <w:szCs w:val="21"/>
          <w:rtl/>
          <w:lang w:eastAsia="fr-FR"/>
        </w:rPr>
        <w:t>العرف  هل</w:t>
      </w:r>
      <w:proofErr w:type="gramEnd"/>
      <w:r w:rsidRPr="004C1BC5">
        <w:rPr>
          <w:rFonts w:ascii="tajawal-regular" w:eastAsia="Times New Roman" w:hAnsi="tajawal-regular" w:cs="Times New Roman"/>
          <w:color w:val="000000"/>
          <w:sz w:val="21"/>
          <w:szCs w:val="21"/>
          <w:rtl/>
          <w:lang w:eastAsia="fr-FR"/>
        </w:rPr>
        <w:t xml:space="preserve"> سيكمل بحثه تدريجياً في مصادر القانون ليصل الى قواعد العدالة أم سيقول لم أجد نصاً أو حل للنزاع المعروض؟؟ ان ينكر القاضي وجود نص هذه تماماً جريمة وانكار لما هو عادل ومنصف فلماذا اختص القاضي بحل النزاعات لذا لا يعقل انسحابه بذريعة عدم وجود نص ومن هنا سمي هذا المصدر قواعد العدالة والتي تعرف بأنها قرارات من الأحكام وتشريعات صادرة وتتفق الأمم على وجودها كأن اقول من حقي التعبير عن رأيي، حقي العيش بسلام، حقي في الحصول على العدل والمساواة وحقوق عدة</w:t>
      </w:r>
      <w:r w:rsidRPr="004C1BC5">
        <w:rPr>
          <w:rFonts w:ascii="tajawal-regular" w:eastAsia="Times New Roman" w:hAnsi="tajawal-regular" w:cs="Times New Roman"/>
          <w:b/>
          <w:bCs/>
          <w:color w:val="000000"/>
          <w:sz w:val="21"/>
          <w:szCs w:val="21"/>
          <w:rtl/>
          <w:lang w:eastAsia="fr-FR"/>
        </w:rPr>
        <w:t>  </w:t>
      </w:r>
      <w:r w:rsidRPr="004C1BC5">
        <w:rPr>
          <w:rFonts w:ascii="tajawal-regular" w:eastAsia="Times New Roman" w:hAnsi="tajawal-regular" w:cs="Times New Roman"/>
          <w:color w:val="000000"/>
          <w:sz w:val="21"/>
          <w:szCs w:val="21"/>
          <w:rtl/>
          <w:lang w:eastAsia="fr-FR"/>
        </w:rPr>
        <w:t xml:space="preserve">كالتنقل، العمل، التملك وغيرها الكثير وهذه القواعد التي تمنح سعادة القاضي أن يجتهد برأيه عندما لا تساعده المصادر الأصلية ولا التدرج بالاحتياطية فيحال له </w:t>
      </w:r>
      <w:proofErr w:type="spellStart"/>
      <w:r w:rsidRPr="004C1BC5">
        <w:rPr>
          <w:rFonts w:ascii="tajawal-regular" w:eastAsia="Times New Roman" w:hAnsi="tajawal-regular" w:cs="Times New Roman"/>
          <w:color w:val="000000"/>
          <w:sz w:val="21"/>
          <w:szCs w:val="21"/>
          <w:rtl/>
          <w:lang w:eastAsia="fr-FR"/>
        </w:rPr>
        <w:t>الإستناد</w:t>
      </w:r>
      <w:proofErr w:type="spellEnd"/>
      <w:r w:rsidRPr="004C1BC5">
        <w:rPr>
          <w:rFonts w:ascii="tajawal-regular" w:eastAsia="Times New Roman" w:hAnsi="tajawal-regular" w:cs="Times New Roman"/>
          <w:color w:val="000000"/>
          <w:sz w:val="21"/>
          <w:szCs w:val="21"/>
          <w:rtl/>
          <w:lang w:eastAsia="fr-FR"/>
        </w:rPr>
        <w:t xml:space="preserve"> لمجهوده الشخصي بما لا يتعارض مع العرف اي بمعنى تكون قاعدة العدالة التي يستند اليها القاضي لها من المعتقدات المنتشرة بين الناس وبالطبع يتقيد بمبادئ عدة عند استناده لها منها: لا يحكم ولا يجوز له الحكم باستناده قاعدة بذريعة انه يراعي العدل وانه سيقضي بغير القواعد </w:t>
      </w:r>
      <w:proofErr w:type="spellStart"/>
      <w:r w:rsidRPr="004C1BC5">
        <w:rPr>
          <w:rFonts w:ascii="tajawal-regular" w:eastAsia="Times New Roman" w:hAnsi="tajawal-regular" w:cs="Times New Roman"/>
          <w:color w:val="000000"/>
          <w:sz w:val="21"/>
          <w:szCs w:val="21"/>
          <w:rtl/>
          <w:lang w:eastAsia="fr-FR"/>
        </w:rPr>
        <w:t>التشريعة</w:t>
      </w:r>
      <w:proofErr w:type="spellEnd"/>
      <w:r w:rsidRPr="004C1BC5">
        <w:rPr>
          <w:rFonts w:ascii="tajawal-regular" w:eastAsia="Times New Roman" w:hAnsi="tajawal-regular" w:cs="Times New Roman"/>
          <w:color w:val="000000"/>
          <w:sz w:val="21"/>
          <w:szCs w:val="21"/>
          <w:rtl/>
          <w:lang w:eastAsia="fr-FR"/>
        </w:rPr>
        <w:t xml:space="preserve"> او الاسلامية او العرفية الواجبة للتطبيق اي لا يستطيع استبدال القواعد الاصلية بقواعد العدالة ولا يجوز للقاضي أيضاً اللجوء لقواعد العدالة اذا تمكن من اخفاء وسد النقص باستعماله القياس</w:t>
      </w:r>
      <w:r w:rsidRPr="004C1BC5">
        <w:rPr>
          <w:rFonts w:ascii="tajawal-regular" w:eastAsia="Times New Roman" w:hAnsi="tajawal-regular" w:cs="Times New Roman"/>
          <w:color w:val="000000"/>
          <w:sz w:val="21"/>
          <w:szCs w:val="21"/>
          <w:lang w:eastAsia="fr-FR"/>
        </w:rPr>
        <w:t>.</w:t>
      </w:r>
    </w:p>
    <w:p w14:paraId="50758D9A"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color w:val="000000"/>
          <w:sz w:val="21"/>
          <w:szCs w:val="21"/>
          <w:rtl/>
          <w:lang w:eastAsia="fr-FR"/>
        </w:rPr>
        <w:t xml:space="preserve">الى هنا </w:t>
      </w:r>
      <w:proofErr w:type="gramStart"/>
      <w:r w:rsidRPr="004C1BC5">
        <w:rPr>
          <w:rFonts w:ascii="tajawal-regular" w:eastAsia="Times New Roman" w:hAnsi="tajawal-regular" w:cs="Times New Roman"/>
          <w:color w:val="000000"/>
          <w:sz w:val="21"/>
          <w:szCs w:val="21"/>
          <w:rtl/>
          <w:lang w:eastAsia="fr-FR"/>
        </w:rPr>
        <w:t>انهينا</w:t>
      </w:r>
      <w:proofErr w:type="gramEnd"/>
      <w:r w:rsidRPr="004C1BC5">
        <w:rPr>
          <w:rFonts w:ascii="tajawal-regular" w:eastAsia="Times New Roman" w:hAnsi="tajawal-regular" w:cs="Times New Roman"/>
          <w:color w:val="000000"/>
          <w:sz w:val="21"/>
          <w:szCs w:val="21"/>
          <w:rtl/>
          <w:lang w:eastAsia="fr-FR"/>
        </w:rPr>
        <w:t xml:space="preserve"> المصادر الرسمية للقانون منتقلين لما هو غير رسمي او ما يعرف </w:t>
      </w:r>
      <w:proofErr w:type="spellStart"/>
      <w:r w:rsidRPr="004C1BC5">
        <w:rPr>
          <w:rFonts w:ascii="tajawal-regular" w:eastAsia="Times New Roman" w:hAnsi="tajawal-regular" w:cs="Times New Roman"/>
          <w:color w:val="000000"/>
          <w:sz w:val="21"/>
          <w:szCs w:val="21"/>
          <w:rtl/>
          <w:lang w:eastAsia="fr-FR"/>
        </w:rPr>
        <w:t>بالاستئناسية</w:t>
      </w:r>
      <w:proofErr w:type="spellEnd"/>
      <w:r w:rsidRPr="004C1BC5">
        <w:rPr>
          <w:rFonts w:ascii="tajawal-regular" w:eastAsia="Times New Roman" w:hAnsi="tajawal-regular" w:cs="Times New Roman"/>
          <w:color w:val="000000"/>
          <w:sz w:val="21"/>
          <w:szCs w:val="21"/>
          <w:lang w:eastAsia="fr-FR"/>
        </w:rPr>
        <w:t>.</w:t>
      </w:r>
    </w:p>
    <w:p w14:paraId="48C638B1"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color w:val="555555"/>
          <w:sz w:val="21"/>
          <w:szCs w:val="21"/>
          <w:lang w:eastAsia="fr-FR"/>
        </w:rPr>
        <w:t> </w:t>
      </w:r>
    </w:p>
    <w:p w14:paraId="7779BFC8" w14:textId="77777777" w:rsidR="004C1BC5" w:rsidRPr="004C1BC5" w:rsidRDefault="004C1BC5" w:rsidP="004C1BC5">
      <w:pPr>
        <w:shd w:val="clear" w:color="auto" w:fill="FFFFFF"/>
        <w:spacing w:after="100" w:afterAutospacing="1" w:line="312" w:lineRule="atLeast"/>
        <w:jc w:val="right"/>
        <w:outlineLvl w:val="3"/>
        <w:rPr>
          <w:rFonts w:ascii="tajawal-regular" w:eastAsia="Times New Roman" w:hAnsi="tajawal-regular" w:cs="Times New Roman"/>
          <w:b/>
          <w:bCs/>
          <w:color w:val="121212"/>
          <w:sz w:val="30"/>
          <w:szCs w:val="30"/>
          <w:lang w:eastAsia="fr-FR"/>
        </w:rPr>
      </w:pPr>
      <w:r w:rsidRPr="004C1BC5">
        <w:rPr>
          <w:rFonts w:ascii="tajawal-regular" w:eastAsia="Times New Roman" w:hAnsi="tajawal-regular" w:cs="Times New Roman"/>
          <w:b/>
          <w:bCs/>
          <w:color w:val="FF0000"/>
          <w:sz w:val="30"/>
          <w:szCs w:val="30"/>
          <w:rtl/>
          <w:lang w:eastAsia="fr-FR"/>
        </w:rPr>
        <w:t>رابعاً</w:t>
      </w:r>
      <w:r w:rsidRPr="004C1BC5">
        <w:rPr>
          <w:rFonts w:ascii="tajawal-regular" w:eastAsia="Times New Roman" w:hAnsi="tajawal-regular" w:cs="Times New Roman"/>
          <w:b/>
          <w:bCs/>
          <w:color w:val="FF0000"/>
          <w:sz w:val="30"/>
          <w:szCs w:val="30"/>
          <w:lang w:eastAsia="fr-FR"/>
        </w:rPr>
        <w:t xml:space="preserve"> –</w:t>
      </w:r>
      <w:r w:rsidRPr="004C1BC5">
        <w:rPr>
          <w:rFonts w:ascii="tajawal-regular" w:eastAsia="Times New Roman" w:hAnsi="tajawal-regular" w:cs="Times New Roman"/>
          <w:b/>
          <w:bCs/>
          <w:color w:val="3D2D22"/>
          <w:sz w:val="30"/>
          <w:szCs w:val="30"/>
          <w:lang w:eastAsia="fr-FR"/>
        </w:rPr>
        <w:t> </w:t>
      </w:r>
      <w:r w:rsidRPr="004C1BC5">
        <w:rPr>
          <w:rFonts w:ascii="tajawal-regular" w:eastAsia="Times New Roman" w:hAnsi="tajawal-regular" w:cs="Times New Roman"/>
          <w:b/>
          <w:bCs/>
          <w:color w:val="3D2D22"/>
          <w:sz w:val="30"/>
          <w:szCs w:val="30"/>
          <w:rtl/>
          <w:lang w:eastAsia="fr-FR"/>
        </w:rPr>
        <w:t>مصادر تفسيرية</w:t>
      </w:r>
      <w:r w:rsidRPr="004C1BC5">
        <w:rPr>
          <w:rFonts w:ascii="tajawal-regular" w:eastAsia="Times New Roman" w:hAnsi="tajawal-regular" w:cs="Times New Roman"/>
          <w:b/>
          <w:bCs/>
          <w:color w:val="3D2D22"/>
          <w:sz w:val="30"/>
          <w:szCs w:val="30"/>
          <w:lang w:eastAsia="fr-FR"/>
        </w:rPr>
        <w:t>:</w:t>
      </w:r>
    </w:p>
    <w:p w14:paraId="14BF4190"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color w:val="555555"/>
          <w:sz w:val="21"/>
          <w:szCs w:val="21"/>
          <w:lang w:eastAsia="fr-FR"/>
        </w:rPr>
        <w:t> </w:t>
      </w:r>
    </w:p>
    <w:p w14:paraId="0842E5FE"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b/>
          <w:bCs/>
          <w:color w:val="FF0000"/>
          <w:sz w:val="21"/>
          <w:szCs w:val="21"/>
          <w:lang w:eastAsia="fr-FR"/>
        </w:rPr>
        <w:t xml:space="preserve">1- </w:t>
      </w:r>
      <w:proofErr w:type="gramStart"/>
      <w:r w:rsidRPr="004C1BC5">
        <w:rPr>
          <w:rFonts w:ascii="tajawal-regular" w:eastAsia="Times New Roman" w:hAnsi="tajawal-regular" w:cs="Times New Roman"/>
          <w:b/>
          <w:bCs/>
          <w:color w:val="FF0000"/>
          <w:sz w:val="21"/>
          <w:szCs w:val="21"/>
          <w:rtl/>
          <w:lang w:eastAsia="fr-FR"/>
        </w:rPr>
        <w:t>الفقه</w:t>
      </w:r>
      <w:r w:rsidRPr="004C1BC5">
        <w:rPr>
          <w:rFonts w:ascii="tajawal-regular" w:eastAsia="Times New Roman" w:hAnsi="tajawal-regular" w:cs="Times New Roman"/>
          <w:b/>
          <w:bCs/>
          <w:color w:val="FF0000"/>
          <w:sz w:val="21"/>
          <w:szCs w:val="21"/>
          <w:lang w:eastAsia="fr-FR"/>
        </w:rPr>
        <w:t>:</w:t>
      </w:r>
      <w:proofErr w:type="gramEnd"/>
    </w:p>
    <w:p w14:paraId="097DE8FD"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color w:val="000000"/>
          <w:sz w:val="21"/>
          <w:szCs w:val="21"/>
          <w:rtl/>
          <w:lang w:eastAsia="fr-FR"/>
        </w:rPr>
        <w:t>يعرف الفقه بأنه مجموعة من أناس فقهاء يقوموا بمهمة شرح القانون والتعليق على الأحكام ويمكنهم التدريس في الجامعات القانونية</w:t>
      </w:r>
      <w:r w:rsidRPr="004C1BC5">
        <w:rPr>
          <w:rFonts w:ascii="tajawal-regular" w:eastAsia="Times New Roman" w:hAnsi="tajawal-regular" w:cs="Times New Roman"/>
          <w:color w:val="000000"/>
          <w:sz w:val="21"/>
          <w:szCs w:val="21"/>
          <w:lang w:eastAsia="fr-FR"/>
        </w:rPr>
        <w:t>.</w:t>
      </w:r>
    </w:p>
    <w:p w14:paraId="3E5FEFBA"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color w:val="000000"/>
          <w:sz w:val="21"/>
          <w:szCs w:val="21"/>
          <w:rtl/>
          <w:lang w:eastAsia="fr-FR"/>
        </w:rPr>
        <w:t xml:space="preserve">فهم يعرضوا آرائهم بقوته الأدبية بحيث لا يملك الصفة الرسمية أي بمعنى رأيهم لا يشترط فيه أن يلزم القاضي ولكن بالطبع للفقه أهمية لا تنكر لولا تقدم هؤلاء الفقهاء لم يتقدم علم القانون لدينا فهم </w:t>
      </w:r>
      <w:proofErr w:type="spellStart"/>
      <w:r w:rsidRPr="004C1BC5">
        <w:rPr>
          <w:rFonts w:ascii="tajawal-regular" w:eastAsia="Times New Roman" w:hAnsi="tajawal-regular" w:cs="Times New Roman"/>
          <w:color w:val="000000"/>
          <w:sz w:val="21"/>
          <w:szCs w:val="21"/>
          <w:rtl/>
          <w:lang w:eastAsia="fr-FR"/>
        </w:rPr>
        <w:t>بذلو</w:t>
      </w:r>
      <w:proofErr w:type="spellEnd"/>
      <w:r w:rsidRPr="004C1BC5">
        <w:rPr>
          <w:rFonts w:ascii="tajawal-regular" w:eastAsia="Times New Roman" w:hAnsi="tajawal-regular" w:cs="Times New Roman"/>
          <w:color w:val="000000"/>
          <w:sz w:val="21"/>
          <w:szCs w:val="21"/>
          <w:rtl/>
          <w:lang w:eastAsia="fr-FR"/>
        </w:rPr>
        <w:t xml:space="preserve"> جهود عبر العصور كل فقيه يقوم بالتحليل بمعنى يأخذوا النص القانوني الصادر عن المشرع يقوموا بتحليل مقصده ومفهومه وتبيان حقيقة المطلوب منه كنص ويقوموا أيضاً بما يعرف بالتأصيل أي يبينوا الأفكار العامة المحصورة وراء أحكام القضاء والتشريعات. ويقوموا الفقهاء أيضاً بالنقد سواء لما جاء بالتشريع أو بما جاء بأحكام القضاء مبين العيوب والنقص وكل ما يفتقر اليه النص ويبين برأيه له ممهد لعملية الإصلاح. واخر ما يقوم به الفقهاء هو استنباط المبادئ العامة من قواعد تفصيلية واردة في التشريع أو أحكام القضاء</w:t>
      </w:r>
      <w:r w:rsidRPr="004C1BC5">
        <w:rPr>
          <w:rFonts w:ascii="tajawal-regular" w:eastAsia="Times New Roman" w:hAnsi="tajawal-regular" w:cs="Times New Roman"/>
          <w:color w:val="000000"/>
          <w:sz w:val="21"/>
          <w:szCs w:val="21"/>
          <w:lang w:eastAsia="fr-FR"/>
        </w:rPr>
        <w:t xml:space="preserve"> …</w:t>
      </w:r>
    </w:p>
    <w:p w14:paraId="017C86CB"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b/>
          <w:bCs/>
          <w:color w:val="FF0000"/>
          <w:sz w:val="21"/>
          <w:szCs w:val="21"/>
          <w:lang w:eastAsia="fr-FR"/>
        </w:rPr>
        <w:t xml:space="preserve">2- </w:t>
      </w:r>
      <w:proofErr w:type="gramStart"/>
      <w:r w:rsidRPr="004C1BC5">
        <w:rPr>
          <w:rFonts w:ascii="tajawal-regular" w:eastAsia="Times New Roman" w:hAnsi="tajawal-regular" w:cs="Times New Roman"/>
          <w:b/>
          <w:bCs/>
          <w:color w:val="FF0000"/>
          <w:sz w:val="21"/>
          <w:szCs w:val="21"/>
          <w:rtl/>
          <w:lang w:eastAsia="fr-FR"/>
        </w:rPr>
        <w:t>القضاء</w:t>
      </w:r>
      <w:r w:rsidRPr="004C1BC5">
        <w:rPr>
          <w:rFonts w:ascii="tajawal-regular" w:eastAsia="Times New Roman" w:hAnsi="tajawal-regular" w:cs="Times New Roman"/>
          <w:b/>
          <w:bCs/>
          <w:color w:val="FF0000"/>
          <w:sz w:val="21"/>
          <w:szCs w:val="21"/>
          <w:lang w:eastAsia="fr-FR"/>
        </w:rPr>
        <w:t>:</w:t>
      </w:r>
      <w:proofErr w:type="gramEnd"/>
    </w:p>
    <w:p w14:paraId="214BD385"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color w:val="000000"/>
          <w:sz w:val="21"/>
          <w:szCs w:val="21"/>
          <w:rtl/>
          <w:lang w:eastAsia="fr-FR"/>
        </w:rPr>
        <w:t>كلمة قضاء تلفتنا نحو المحاكم أو تلفتنا ايضاً نحو قرارات واحكام مصدرها جهة قضائية أي يقصد بالقضاء كل حكم صدر عن المحاكم. أما الفقه فيقصد به الآراء القانونية الصادرة عن العلماء يعملون بعلم القانون</w:t>
      </w:r>
      <w:r w:rsidRPr="004C1BC5">
        <w:rPr>
          <w:rFonts w:ascii="tajawal-regular" w:eastAsia="Times New Roman" w:hAnsi="tajawal-regular" w:cs="Times New Roman"/>
          <w:color w:val="000000"/>
          <w:sz w:val="21"/>
          <w:szCs w:val="21"/>
          <w:lang w:eastAsia="fr-FR"/>
        </w:rPr>
        <w:t>.</w:t>
      </w:r>
    </w:p>
    <w:p w14:paraId="74FE4A84"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color w:val="000000"/>
          <w:sz w:val="21"/>
          <w:szCs w:val="21"/>
          <w:rtl/>
          <w:lang w:eastAsia="fr-FR"/>
        </w:rPr>
        <w:t>وكلاهما كمصادر تفسيرية يعتبروا مصدران يستأنس بهما القاضي عند تفسيره للقواعد القانونية. ويمتاز القضاء بالناحية العملية، بينما يتجه الفقه إلى التفسير النظري وبذلك كلاً منهم يكمل الجانب الآخر</w:t>
      </w:r>
      <w:r w:rsidRPr="004C1BC5">
        <w:rPr>
          <w:rFonts w:ascii="tajawal-regular" w:eastAsia="Times New Roman" w:hAnsi="tajawal-regular" w:cs="Times New Roman"/>
          <w:color w:val="000000"/>
          <w:sz w:val="21"/>
          <w:szCs w:val="21"/>
          <w:lang w:eastAsia="fr-FR"/>
        </w:rPr>
        <w:t>.</w:t>
      </w:r>
    </w:p>
    <w:p w14:paraId="5A7D8DF2" w14:textId="77777777" w:rsidR="004C1BC5" w:rsidRPr="004C1BC5" w:rsidRDefault="004C1BC5" w:rsidP="004C1BC5">
      <w:pPr>
        <w:shd w:val="clear" w:color="auto" w:fill="FFFFFF"/>
        <w:spacing w:after="225" w:line="240" w:lineRule="auto"/>
        <w:jc w:val="right"/>
        <w:rPr>
          <w:rFonts w:ascii="tajawal-regular" w:eastAsia="Times New Roman" w:hAnsi="tajawal-regular" w:cs="Times New Roman"/>
          <w:color w:val="555555"/>
          <w:sz w:val="21"/>
          <w:szCs w:val="21"/>
          <w:lang w:eastAsia="fr-FR"/>
        </w:rPr>
      </w:pPr>
      <w:r w:rsidRPr="004C1BC5">
        <w:rPr>
          <w:rFonts w:ascii="tajawal-regular" w:eastAsia="Times New Roman" w:hAnsi="tajawal-regular" w:cs="Times New Roman"/>
          <w:color w:val="555555"/>
          <w:sz w:val="21"/>
          <w:szCs w:val="21"/>
          <w:lang w:eastAsia="fr-FR"/>
        </w:rPr>
        <w:t> </w:t>
      </w:r>
    </w:p>
    <w:p w14:paraId="618D0F26" w14:textId="77777777" w:rsidR="004C1BC5" w:rsidRDefault="004C1BC5" w:rsidP="004C1BC5">
      <w:pPr>
        <w:jc w:val="right"/>
      </w:pPr>
    </w:p>
    <w:sectPr w:rsidR="004C1BC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jawal-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37F4F"/>
    <w:multiLevelType w:val="multilevel"/>
    <w:tmpl w:val="B7CC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808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C5"/>
    <w:rsid w:val="004C1B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EA8F"/>
  <w15:chartTrackingRefBased/>
  <w15:docId w15:val="{322306F4-57A7-4991-8175-AF3765C2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4C1BC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4C1BC5"/>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4C1BC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C1B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46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4462</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2022-12-20T10:06:00Z</dcterms:created>
  <dcterms:modified xsi:type="dcterms:W3CDTF">2022-12-20T10:07:00Z</dcterms:modified>
</cp:coreProperties>
</file>